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3FD" w:rsidRPr="001B1710" w:rsidRDefault="00CC53FD" w:rsidP="00726651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1B1710">
        <w:rPr>
          <w:rFonts w:eastAsia="Times New Roman"/>
          <w:sz w:val="24"/>
          <w:szCs w:val="24"/>
        </w:rPr>
        <w:t xml:space="preserve">Transmission of waves takes place in the electromagnetic (EM) spectrum. The carrier frequency of the data is expressed in cycles per second called </w:t>
      </w:r>
      <w:proofErr w:type="gramStart"/>
      <w:r w:rsidRPr="001B1710">
        <w:rPr>
          <w:rFonts w:eastAsia="Times New Roman"/>
          <w:sz w:val="24"/>
          <w:szCs w:val="24"/>
        </w:rPr>
        <w:t>hertz(</w:t>
      </w:r>
      <w:proofErr w:type="gramEnd"/>
      <w:r w:rsidRPr="001B1710">
        <w:rPr>
          <w:rFonts w:eastAsia="Times New Roman"/>
          <w:sz w:val="24"/>
          <w:szCs w:val="24"/>
        </w:rPr>
        <w:t xml:space="preserve">Hz). Low frequency signals can travel for long distances through many obstacles but cannot carry a high bandwidth of date while high frequency signals can travel for shorter distances through few obstacles and carry a narrow bandwidth. Also the noise effect on the signal is inversely proportional to the power of the radio transmitter. The three broad categories of wireless media are: </w:t>
      </w:r>
    </w:p>
    <w:p w:rsidR="00CC53FD" w:rsidRPr="001B1710" w:rsidRDefault="00CC53FD" w:rsidP="007675DD">
      <w:pPr>
        <w:spacing w:after="0" w:line="240" w:lineRule="auto"/>
        <w:ind w:left="720"/>
        <w:jc w:val="both"/>
        <w:rPr>
          <w:rFonts w:eastAsia="Times New Roman"/>
          <w:sz w:val="24"/>
          <w:szCs w:val="24"/>
        </w:rPr>
      </w:pPr>
      <w:r w:rsidRPr="001B1710">
        <w:rPr>
          <w:rFonts w:eastAsia="Times New Roman"/>
          <w:sz w:val="24"/>
          <w:szCs w:val="24"/>
        </w:rPr>
        <w:t xml:space="preserve">Radio - 10 </w:t>
      </w:r>
      <w:proofErr w:type="spellStart"/>
      <w:proofErr w:type="gramStart"/>
      <w:r w:rsidRPr="001B1710">
        <w:rPr>
          <w:rFonts w:eastAsia="Times New Roman"/>
          <w:sz w:val="24"/>
          <w:szCs w:val="24"/>
        </w:rPr>
        <w:t>Khz</w:t>
      </w:r>
      <w:proofErr w:type="spellEnd"/>
      <w:proofErr w:type="gramEnd"/>
      <w:r w:rsidRPr="001B1710">
        <w:rPr>
          <w:rFonts w:eastAsia="Times New Roman"/>
          <w:sz w:val="24"/>
          <w:szCs w:val="24"/>
        </w:rPr>
        <w:t xml:space="preserve"> to 1 </w:t>
      </w:r>
      <w:proofErr w:type="spellStart"/>
      <w:r w:rsidRPr="001B1710">
        <w:rPr>
          <w:rFonts w:eastAsia="Times New Roman"/>
          <w:sz w:val="24"/>
          <w:szCs w:val="24"/>
        </w:rPr>
        <w:t>Ghz</w:t>
      </w:r>
      <w:proofErr w:type="spellEnd"/>
      <w:r w:rsidRPr="001B1710">
        <w:rPr>
          <w:rFonts w:eastAsia="Times New Roman"/>
          <w:sz w:val="24"/>
          <w:szCs w:val="24"/>
        </w:rPr>
        <w:t xml:space="preserve">. It is broken into many bands including AM, FM, and VHF bands. The Federal communications Commission (FCC) regulates the assignment of these frequencies. Frequencies for unregulated use are: </w:t>
      </w:r>
    </w:p>
    <w:p w:rsidR="00CC53FD" w:rsidRPr="001B1710" w:rsidRDefault="00CC53FD" w:rsidP="00726651">
      <w:pPr>
        <w:numPr>
          <w:ilvl w:val="1"/>
          <w:numId w:val="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1B1710">
        <w:rPr>
          <w:rFonts w:eastAsia="Times New Roman"/>
          <w:sz w:val="24"/>
          <w:szCs w:val="24"/>
        </w:rPr>
        <w:t xml:space="preserve">902-928 MHz - Cordless phones, remote controls. </w:t>
      </w:r>
    </w:p>
    <w:p w:rsidR="00CC53FD" w:rsidRPr="001B1710" w:rsidRDefault="00CC53FD" w:rsidP="00726651">
      <w:pPr>
        <w:numPr>
          <w:ilvl w:val="1"/>
          <w:numId w:val="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1B1710">
        <w:rPr>
          <w:rFonts w:eastAsia="Times New Roman"/>
          <w:sz w:val="24"/>
          <w:szCs w:val="24"/>
        </w:rPr>
        <w:t xml:space="preserve">2.4 </w:t>
      </w:r>
      <w:proofErr w:type="spellStart"/>
      <w:r w:rsidRPr="001B1710">
        <w:rPr>
          <w:rFonts w:eastAsia="Times New Roman"/>
          <w:sz w:val="24"/>
          <w:szCs w:val="24"/>
        </w:rPr>
        <w:t>Ghz</w:t>
      </w:r>
      <w:proofErr w:type="spellEnd"/>
      <w:r w:rsidRPr="001B1710">
        <w:rPr>
          <w:rFonts w:eastAsia="Times New Roman"/>
          <w:sz w:val="24"/>
          <w:szCs w:val="24"/>
        </w:rPr>
        <w:t xml:space="preserve"> </w:t>
      </w:r>
    </w:p>
    <w:p w:rsidR="00CC53FD" w:rsidRPr="001B1710" w:rsidRDefault="00CC53FD" w:rsidP="00726651">
      <w:pPr>
        <w:numPr>
          <w:ilvl w:val="1"/>
          <w:numId w:val="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1B1710">
        <w:rPr>
          <w:rFonts w:eastAsia="Times New Roman"/>
          <w:sz w:val="24"/>
          <w:szCs w:val="24"/>
        </w:rPr>
        <w:t xml:space="preserve">5.72-5.85 </w:t>
      </w:r>
      <w:proofErr w:type="spellStart"/>
      <w:r w:rsidRPr="001B1710">
        <w:rPr>
          <w:rFonts w:eastAsia="Times New Roman"/>
          <w:sz w:val="24"/>
          <w:szCs w:val="24"/>
        </w:rPr>
        <w:t>Ghz</w:t>
      </w:r>
      <w:proofErr w:type="spellEnd"/>
      <w:r w:rsidRPr="001B1710">
        <w:rPr>
          <w:rFonts w:eastAsia="Times New Roman"/>
          <w:sz w:val="24"/>
          <w:szCs w:val="24"/>
        </w:rPr>
        <w:t xml:space="preserve"> </w:t>
      </w:r>
    </w:p>
    <w:p w:rsidR="00CC53FD" w:rsidRPr="001B1710" w:rsidRDefault="00CC53FD" w:rsidP="007675DD">
      <w:pPr>
        <w:spacing w:after="0" w:line="240" w:lineRule="auto"/>
        <w:ind w:left="720"/>
        <w:jc w:val="both"/>
        <w:rPr>
          <w:rFonts w:eastAsia="Times New Roman"/>
          <w:sz w:val="24"/>
          <w:szCs w:val="24"/>
        </w:rPr>
      </w:pPr>
      <w:r w:rsidRPr="001B1710">
        <w:rPr>
          <w:rFonts w:eastAsia="Times New Roman"/>
          <w:sz w:val="24"/>
          <w:szCs w:val="24"/>
        </w:rPr>
        <w:t xml:space="preserve">Microwave </w:t>
      </w:r>
    </w:p>
    <w:p w:rsidR="00CC53FD" w:rsidRPr="001B1710" w:rsidRDefault="00CC53FD" w:rsidP="00726651">
      <w:pPr>
        <w:numPr>
          <w:ilvl w:val="1"/>
          <w:numId w:val="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1B1710">
        <w:rPr>
          <w:rFonts w:eastAsia="Times New Roman"/>
          <w:sz w:val="24"/>
          <w:szCs w:val="24"/>
        </w:rPr>
        <w:t xml:space="preserve">Terrestrial - Used to link networks over long distances but the two microwave towers must have a line of sight between them. The frequency is usually 4-6GHz or 21-23GHz. Speed is often 1-10Mbps. The signal is normally encrypted for privacy. Two nodes may exist. </w:t>
      </w:r>
    </w:p>
    <w:p w:rsidR="00CC53FD" w:rsidRPr="001B1710" w:rsidRDefault="00CC53FD" w:rsidP="00726651">
      <w:pPr>
        <w:numPr>
          <w:ilvl w:val="1"/>
          <w:numId w:val="1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1B1710">
        <w:rPr>
          <w:rFonts w:eastAsia="Times New Roman"/>
          <w:sz w:val="24"/>
          <w:szCs w:val="24"/>
        </w:rPr>
        <w:t xml:space="preserve">Satellite - A satellite orbits at 22,300 miles above the earth which is an altitude that will cause it to stay in a fixed position relative to the rotation of the earth. This is called a geosynchronous orbit. A station on the ground will send and receive signals from the satellite. The signal can have propagation delays between 0.5 to 5 seconds due to the distances involved. The transmission frequency is normally 11-14GHz with a transmission speed in the range of 1-10Mbps. </w:t>
      </w:r>
    </w:p>
    <w:p w:rsidR="00CC53FD" w:rsidRDefault="00CC53FD" w:rsidP="007675DD">
      <w:pPr>
        <w:spacing w:after="0" w:line="240" w:lineRule="auto"/>
        <w:ind w:left="720"/>
        <w:jc w:val="both"/>
        <w:rPr>
          <w:rFonts w:eastAsia="Times New Roman"/>
          <w:sz w:val="24"/>
          <w:szCs w:val="24"/>
        </w:rPr>
      </w:pPr>
      <w:r w:rsidRPr="001B1710">
        <w:rPr>
          <w:rFonts w:eastAsia="Times New Roman"/>
          <w:sz w:val="24"/>
          <w:szCs w:val="24"/>
        </w:rPr>
        <w:t>Infrared - Infrared is just below the visible range of light between 100 GHz and 1000 THz. A light emitting diode (LED) or laser is used to transmit the signal. The signal cannot travel through objects. Light</w:t>
      </w:r>
      <w:r>
        <w:rPr>
          <w:rFonts w:eastAsia="Times New Roman"/>
          <w:sz w:val="24"/>
          <w:szCs w:val="24"/>
        </w:rPr>
        <w:t xml:space="preserve"> may interfere with the signal.</w:t>
      </w:r>
    </w:p>
    <w:p w:rsidR="00CC53FD" w:rsidRDefault="00CC53FD" w:rsidP="00726651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0"/>
        <w:gridCol w:w="4403"/>
        <w:gridCol w:w="1907"/>
      </w:tblGrid>
      <w:tr w:rsidR="00CC53FD" w:rsidRPr="001B1710" w:rsidTr="00CC53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Media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Speed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b/>
                <w:bCs/>
                <w:color w:val="FF0000"/>
                <w:sz w:val="24"/>
                <w:szCs w:val="24"/>
              </w:rPr>
              <w:t>Approx Cost/station</w:t>
            </w:r>
          </w:p>
        </w:tc>
      </w:tr>
      <w:tr w:rsidR="00CC53FD" w:rsidRPr="001B1710" w:rsidTr="00CC53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 xml:space="preserve">900 </w:t>
            </w:r>
            <w:proofErr w:type="spellStart"/>
            <w:r w:rsidRPr="00CC53FD">
              <w:rPr>
                <w:rFonts w:eastAsia="Times New Roman"/>
                <w:color w:val="FF0000"/>
                <w:sz w:val="24"/>
                <w:szCs w:val="24"/>
              </w:rPr>
              <w:t>Mhz</w:t>
            </w:r>
            <w:proofErr w:type="spellEnd"/>
            <w:r w:rsidRPr="00CC53FD">
              <w:rPr>
                <w:rFonts w:eastAsia="Times New Roman"/>
                <w:color w:val="FF0000"/>
                <w:sz w:val="24"/>
                <w:szCs w:val="24"/>
              </w:rPr>
              <w:t xml:space="preserve"> Spread spectrum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2-6Mbps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$5000</w:t>
            </w:r>
          </w:p>
        </w:tc>
      </w:tr>
      <w:tr w:rsidR="00CC53FD" w:rsidRPr="001B1710" w:rsidTr="00CC53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 xml:space="preserve">6 </w:t>
            </w:r>
            <w:proofErr w:type="spellStart"/>
            <w:r w:rsidRPr="00CC53FD">
              <w:rPr>
                <w:rFonts w:eastAsia="Times New Roman"/>
                <w:color w:val="FF0000"/>
                <w:sz w:val="24"/>
                <w:szCs w:val="24"/>
              </w:rPr>
              <w:t>Ghz</w:t>
            </w:r>
            <w:proofErr w:type="spellEnd"/>
            <w:r w:rsidRPr="00CC53FD">
              <w:rPr>
                <w:rFonts w:eastAsia="Times New Roman"/>
                <w:color w:val="FF0000"/>
                <w:sz w:val="24"/>
                <w:szCs w:val="24"/>
              </w:rPr>
              <w:t xml:space="preserve"> Spread Spectrum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2-6Mbps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$1000</w:t>
            </w:r>
          </w:p>
        </w:tc>
      </w:tr>
      <w:tr w:rsidR="00CC53FD" w:rsidRPr="001B1710" w:rsidTr="00CC53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23Ghz Microwave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6Mbps at 50 kilometers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$15000</w:t>
            </w:r>
          </w:p>
        </w:tc>
      </w:tr>
      <w:tr w:rsidR="00CC53FD" w:rsidRPr="001B1710" w:rsidTr="00CC53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Intra building Infrared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10Mbps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$400</w:t>
            </w:r>
          </w:p>
        </w:tc>
      </w:tr>
      <w:tr w:rsidR="00CC53FD" w:rsidRPr="001B1710" w:rsidTr="00CC53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Medium distance inter building Infrared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10Mbps at 500 meters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$5000</w:t>
            </w:r>
          </w:p>
        </w:tc>
      </w:tr>
      <w:tr w:rsidR="00CC53FD" w:rsidRPr="001B1710" w:rsidTr="00CC53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Long distance inter building Infrared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155Mbps at 500 meters, Less than 20Mbps at 1200 meters.</w:t>
            </w:r>
          </w:p>
        </w:tc>
        <w:tc>
          <w:tcPr>
            <w:tcW w:w="0" w:type="auto"/>
            <w:vAlign w:val="center"/>
            <w:hideMark/>
          </w:tcPr>
          <w:p w:rsidR="00CC53FD" w:rsidRPr="00CC53FD" w:rsidRDefault="00CC53FD" w:rsidP="00726651">
            <w:pPr>
              <w:spacing w:after="0" w:line="240" w:lineRule="auto"/>
              <w:jc w:val="both"/>
              <w:rPr>
                <w:rFonts w:eastAsia="Times New Roman"/>
                <w:color w:val="FF0000"/>
                <w:sz w:val="24"/>
                <w:szCs w:val="24"/>
              </w:rPr>
            </w:pPr>
            <w:r w:rsidRPr="00CC53FD">
              <w:rPr>
                <w:rFonts w:eastAsia="Times New Roman"/>
                <w:color w:val="FF0000"/>
                <w:sz w:val="24"/>
                <w:szCs w:val="24"/>
              </w:rPr>
              <w:t>$8000</w:t>
            </w:r>
          </w:p>
        </w:tc>
      </w:tr>
    </w:tbl>
    <w:p w:rsidR="00CC53FD" w:rsidRPr="001B1710" w:rsidRDefault="00CC53FD" w:rsidP="00726651">
      <w:pPr>
        <w:spacing w:before="100" w:beforeAutospacing="1" w:after="100" w:afterAutospacing="1" w:line="240" w:lineRule="auto"/>
        <w:ind w:left="720"/>
        <w:jc w:val="both"/>
        <w:rPr>
          <w:rFonts w:eastAsia="Times New Roman"/>
          <w:sz w:val="24"/>
          <w:szCs w:val="24"/>
        </w:rPr>
      </w:pPr>
    </w:p>
    <w:sectPr w:rsidR="00CC53FD" w:rsidRPr="001B1710" w:rsidSect="009C68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2A51"/>
    <w:multiLevelType w:val="multilevel"/>
    <w:tmpl w:val="551A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E8745A"/>
    <w:multiLevelType w:val="multilevel"/>
    <w:tmpl w:val="BB1A8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53FD"/>
    <w:rsid w:val="00244E0A"/>
    <w:rsid w:val="0028633A"/>
    <w:rsid w:val="00726651"/>
    <w:rsid w:val="007675DD"/>
    <w:rsid w:val="009C688B"/>
    <w:rsid w:val="00A55114"/>
    <w:rsid w:val="00C75090"/>
    <w:rsid w:val="00CC53FD"/>
    <w:rsid w:val="00D970B5"/>
    <w:rsid w:val="00E17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5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1861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2017-06-06T18:34:00Z</dcterms:created>
  <dcterms:modified xsi:type="dcterms:W3CDTF">2017-06-07T14:11:00Z</dcterms:modified>
</cp:coreProperties>
</file>